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thinThickThinSmallGap" w:sz="18" w:space="0" w:color="auto"/>
          <w:bottom w:val="thinThickThinSmallGap" w:sz="18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02271" w:rsidRPr="00FB30A3" w14:paraId="0E645186" w14:textId="77777777" w:rsidTr="003A177B">
        <w:trPr>
          <w:trHeight w:val="1256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66B4E3E7" w14:textId="4B59E2C2" w:rsidR="003B63CD" w:rsidRPr="003B63CD" w:rsidRDefault="00B13D16" w:rsidP="003B63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20"/>
                <w:sz w:val="24"/>
                <w:szCs w:val="24"/>
                <w:lang w:eastAsia="ru-RU"/>
              </w:rPr>
            </w:pPr>
            <w:bookmarkStart w:id="0" w:name="_Hlk60943285"/>
            <w:r>
              <w:rPr>
                <w:rFonts w:ascii="Times New Roman" w:eastAsia="Times New Roman" w:hAnsi="Times New Roman" w:cs="Times New Roman"/>
                <w:b/>
                <w:bCs/>
                <w:iCs/>
                <w:spacing w:val="20"/>
                <w:sz w:val="24"/>
                <w:szCs w:val="24"/>
                <w:lang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pacing w:val="20"/>
                <w:sz w:val="24"/>
                <w:szCs w:val="24"/>
                <w:lang w:val="en-US" w:eastAsia="ru-RU"/>
              </w:rPr>
              <w:t>V</w:t>
            </w:r>
            <w:bookmarkStart w:id="1" w:name="_GoBack"/>
            <w:bookmarkEnd w:id="1"/>
            <w:r w:rsidR="003B63CD" w:rsidRPr="003B63CD">
              <w:rPr>
                <w:rFonts w:ascii="Times New Roman" w:eastAsia="Times New Roman" w:hAnsi="Times New Roman" w:cs="Times New Roman"/>
                <w:b/>
                <w:bCs/>
                <w:iCs/>
                <w:spacing w:val="20"/>
                <w:sz w:val="24"/>
                <w:szCs w:val="24"/>
                <w:lang w:eastAsia="ru-RU"/>
              </w:rPr>
              <w:t xml:space="preserve"> Республиканская научно-практическая конференция-конкурс</w:t>
            </w:r>
          </w:p>
          <w:p w14:paraId="44980696" w14:textId="5737AA4F" w:rsidR="003B63CD" w:rsidRPr="003B63CD" w:rsidRDefault="003B63CD" w:rsidP="003B63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20"/>
                <w:sz w:val="24"/>
                <w:szCs w:val="24"/>
                <w:lang w:eastAsia="ru-RU"/>
              </w:rPr>
            </w:pPr>
            <w:r w:rsidRPr="003B63CD">
              <w:rPr>
                <w:rFonts w:ascii="Times New Roman" w:eastAsia="Times New Roman" w:hAnsi="Times New Roman" w:cs="Times New Roman"/>
                <w:b/>
                <w:bCs/>
                <w:iCs/>
                <w:spacing w:val="20"/>
                <w:sz w:val="24"/>
                <w:szCs w:val="24"/>
                <w:lang w:eastAsia="ru-RU"/>
              </w:rPr>
              <w:t>научно-исследовательских работ учащихся средних,</w:t>
            </w:r>
          </w:p>
          <w:p w14:paraId="17417107" w14:textId="0D8D6EDF" w:rsidR="003B63CD" w:rsidRPr="003B63CD" w:rsidRDefault="003B63CD" w:rsidP="003B63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20"/>
                <w:sz w:val="24"/>
                <w:szCs w:val="24"/>
                <w:lang w:eastAsia="ru-RU"/>
              </w:rPr>
            </w:pPr>
            <w:r w:rsidRPr="003B63CD">
              <w:rPr>
                <w:rFonts w:ascii="Times New Roman" w:eastAsia="Times New Roman" w:hAnsi="Times New Roman" w:cs="Times New Roman"/>
                <w:b/>
                <w:bCs/>
                <w:iCs/>
                <w:spacing w:val="20"/>
                <w:sz w:val="24"/>
                <w:szCs w:val="24"/>
                <w:lang w:eastAsia="ru-RU"/>
              </w:rPr>
              <w:t>средних специальных учебных заведений и студентов вузов</w:t>
            </w:r>
          </w:p>
          <w:p w14:paraId="6679D06B" w14:textId="40918FBB" w:rsidR="003B63CD" w:rsidRDefault="003B63CD" w:rsidP="003B63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20"/>
                <w:sz w:val="24"/>
                <w:szCs w:val="24"/>
                <w:lang w:eastAsia="ru-RU"/>
              </w:rPr>
            </w:pPr>
            <w:r w:rsidRPr="003B63CD">
              <w:rPr>
                <w:rFonts w:ascii="Times New Roman" w:eastAsia="Times New Roman" w:hAnsi="Times New Roman" w:cs="Times New Roman"/>
                <w:b/>
                <w:bCs/>
                <w:iCs/>
                <w:spacing w:val="20"/>
                <w:sz w:val="24"/>
                <w:szCs w:val="24"/>
                <w:lang w:eastAsia="ru-RU"/>
              </w:rPr>
              <w:t>«От Альфа к Омеге…»</w:t>
            </w:r>
          </w:p>
          <w:p w14:paraId="1BE0ABF0" w14:textId="5A5E15DE" w:rsidR="00B02271" w:rsidRPr="00FB30A3" w:rsidRDefault="00B02271" w:rsidP="003B63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pacing w:val="20"/>
                <w:sz w:val="24"/>
                <w:szCs w:val="24"/>
                <w:lang w:eastAsia="ru-RU"/>
              </w:rPr>
            </w:pPr>
            <w:r w:rsidRPr="00FB30A3">
              <w:rPr>
                <w:rFonts w:ascii="Times New Roman" w:eastAsia="Times New Roman" w:hAnsi="Times New Roman" w:cs="Times New Roman"/>
                <w:iCs/>
                <w:spacing w:val="20"/>
                <w:sz w:val="24"/>
                <w:szCs w:val="24"/>
                <w:lang w:eastAsia="ru-RU"/>
              </w:rPr>
              <w:t>Секция 2. Прикладная математика</w:t>
            </w:r>
          </w:p>
          <w:p w14:paraId="1530DB93" w14:textId="1C05213E" w:rsidR="00B02271" w:rsidRPr="00FB30A3" w:rsidRDefault="00B02271" w:rsidP="00FB3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aps/>
                <w:spacing w:val="20"/>
                <w:sz w:val="24"/>
                <w:szCs w:val="24"/>
                <w:lang w:eastAsia="ru-RU"/>
              </w:rPr>
            </w:pPr>
            <w:r w:rsidRPr="00FB30A3">
              <w:rPr>
                <w:rFonts w:ascii="Times New Roman" w:eastAsia="Times New Roman" w:hAnsi="Times New Roman" w:cs="Times New Roman"/>
                <w:iCs/>
                <w:caps/>
                <w:spacing w:val="20"/>
                <w:sz w:val="24"/>
                <w:szCs w:val="24"/>
                <w:lang w:eastAsia="ru-RU"/>
              </w:rPr>
              <w:t>Статьи студентов</w:t>
            </w:r>
          </w:p>
        </w:tc>
      </w:tr>
      <w:bookmarkEnd w:id="0"/>
    </w:tbl>
    <w:p w14:paraId="39984138" w14:textId="77777777" w:rsidR="00B02271" w:rsidRPr="00B02271" w:rsidRDefault="00B02271" w:rsidP="00FB30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210ADC62" w14:textId="77777777" w:rsidR="00B02271" w:rsidRPr="00B02271" w:rsidRDefault="00B02271" w:rsidP="00FB30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2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СПЕЦИФИКА ИНТЕЛЛЕКТУАЛЬНОЙ СОБСТВЕННОСТИ В СФЕРЕ УСЛУГ</w:t>
      </w:r>
    </w:p>
    <w:p w14:paraId="38B569AD" w14:textId="77777777" w:rsidR="00B02271" w:rsidRPr="00B02271" w:rsidRDefault="00B02271" w:rsidP="00FB30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A3F607" w14:textId="2488180D" w:rsidR="00B02271" w:rsidRPr="00B02271" w:rsidRDefault="00B02271" w:rsidP="00FB30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2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</w:t>
      </w:r>
      <w:r w:rsidR="00A46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02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</w:t>
      </w:r>
      <w:r w:rsidR="00A46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6928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Рыжова</w:t>
      </w:r>
    </w:p>
    <w:p w14:paraId="07223EC4" w14:textId="1F99745D" w:rsidR="00B02271" w:rsidRPr="00B02271" w:rsidRDefault="00B02271" w:rsidP="00FB30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22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УО «Гродненский государственный университет имени Янки</w:t>
      </w:r>
      <w:r w:rsidR="00A46A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022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Купалы»,</w:t>
      </w:r>
    </w:p>
    <w:p w14:paraId="012A6C3A" w14:textId="5BED9B3E" w:rsidR="007D1D09" w:rsidRPr="00C1148B" w:rsidRDefault="007D1D09" w:rsidP="00C114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Гродно, Беларусь</w:t>
      </w:r>
    </w:p>
    <w:p w14:paraId="38F27808" w14:textId="77777777" w:rsidR="00B02271" w:rsidRPr="00C1148B" w:rsidRDefault="00B02271" w:rsidP="00FB30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8F3A1BF" w14:textId="757323BB" w:rsidR="00B02271" w:rsidRPr="00B02271" w:rsidRDefault="00B02271" w:rsidP="00FB30A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2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руководитель – И.</w:t>
      </w:r>
      <w:r w:rsidR="00B01C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02271">
        <w:rPr>
          <w:rFonts w:ascii="Times New Roman" w:eastAsia="Times New Roman" w:hAnsi="Times New Roman" w:cs="Times New Roman"/>
          <w:sz w:val="24"/>
          <w:szCs w:val="24"/>
          <w:lang w:eastAsia="ru-RU"/>
        </w:rPr>
        <w:t>П. Перов</w:t>
      </w:r>
      <w:r w:rsidR="00C1148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r w:rsidRPr="00B02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профессор кафедры </w:t>
      </w:r>
      <w:r w:rsidR="00C1148B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фундаментальной и прикладной математики</w:t>
      </w:r>
      <w:r w:rsidRPr="00B02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УО «Гродненский государственный университет имени Янки Купалы», доктор физико-математических наук, профессор.</w:t>
      </w:r>
    </w:p>
    <w:p w14:paraId="45910A3B" w14:textId="77777777" w:rsidR="00B02271" w:rsidRPr="00B02271" w:rsidRDefault="00B02271" w:rsidP="00FB30A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747DCBEA" w14:textId="6FF7B49D" w:rsidR="00FB460E" w:rsidRDefault="00B02271" w:rsidP="00FB460E">
      <w:pPr>
        <w:tabs>
          <w:tab w:val="left" w:pos="453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460E">
        <w:rPr>
          <w:rFonts w:ascii="Times New Roman" w:eastAsia="Times New Roman" w:hAnsi="Times New Roman" w:cs="Times New Roman"/>
          <w:sz w:val="20"/>
          <w:szCs w:val="20"/>
          <w:lang w:eastAsia="ru-RU"/>
        </w:rPr>
        <w:t>В статье исследуется содержание и структура финансово-экономической основы местного управления и самоуправления, источники доходов бюджета. Рассматриваются основные источники собственных доходов, в частности подоходный налог, налог на прибыль, уплачиваемый негосударственными и коммунальными организациями, налог на недвижимость и земельный налог. На основании результатов сопоставления объема налоговых поступлений и формирующей их экономической базы приводится вывод о недостаточной эффективности и устойчивости имеющейся экономической базы местных бюджетов. Приводятся основные факторы, ограничивающие налоговую самостоятельность местных органов власти.</w:t>
      </w:r>
    </w:p>
    <w:p w14:paraId="0CD8CF25" w14:textId="77777777" w:rsidR="00FB460E" w:rsidRPr="00FB460E" w:rsidRDefault="00FB460E" w:rsidP="00FB460E">
      <w:pPr>
        <w:tabs>
          <w:tab w:val="left" w:pos="453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252338" w14:textId="6694C606" w:rsidR="00B02271" w:rsidRPr="00FB460E" w:rsidRDefault="00B02271" w:rsidP="00FB30A3">
      <w:pPr>
        <w:tabs>
          <w:tab w:val="left" w:pos="453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460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Ключевые слова:</w:t>
      </w:r>
      <w:r w:rsidRPr="00FB46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дифференциальное уравнение, проективная плоскость, траектории дифференциальных систем.</w:t>
      </w:r>
    </w:p>
    <w:p w14:paraId="0CC500E0" w14:textId="77777777" w:rsidR="00B02271" w:rsidRPr="00B02271" w:rsidRDefault="00B02271" w:rsidP="00FB30A3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AEFFE7" w14:textId="5E529657" w:rsidR="00FB460E" w:rsidRPr="00FB460E" w:rsidRDefault="00B02271" w:rsidP="00FB30A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Введение. </w:t>
      </w:r>
      <w:r w:rsidRPr="00B02271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Впервые вопрос о существовании индивидуальных различий в умственных (интеллектуальных) способностях поставил Ф. Гальтон [1, с. 50</w:t>
      </w:r>
      <w:r w:rsidR="007928F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02271">
        <w:rPr>
          <w:rFonts w:ascii="Times New Roman" w:eastAsia="Times New Roman" w:hAnsi="Times New Roman" w:cs="Times New Roman"/>
          <w:sz w:val="24"/>
          <w:szCs w:val="24"/>
          <w:lang w:eastAsia="ru-RU"/>
        </w:rPr>
        <w:t>89]. Гальтон полагал, что интеллектуальные возможности закономерно обусловлены особенностями биологической природы человека и, соответственно, ничем не отличаются от его физических и физиологических характеристик. В качестве показателя общих интеллектуальных способностей рассматривалась сенсорная различительная чувствительность.</w:t>
      </w:r>
    </w:p>
    <w:p w14:paraId="517648B8" w14:textId="5B0AD555" w:rsidR="00B02271" w:rsidRDefault="00FB460E" w:rsidP="00FB30A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Текст. Текст. Текст. Текст. Текст. Текст. Текст. Текст. Текст. Текст. Текст. Текст. Текст. Текст. Текст. Текст. Текст. </w:t>
      </w:r>
    </w:p>
    <w:p w14:paraId="49A709DA" w14:textId="77777777" w:rsidR="00FB460E" w:rsidRPr="00B02271" w:rsidRDefault="00FB460E" w:rsidP="00FB30A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95A9B5" w14:textId="77777777" w:rsidR="00FB460E" w:rsidRDefault="00B02271" w:rsidP="00FB460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Основная часть. </w:t>
      </w:r>
      <w:r w:rsidR="00FB4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Текст. Текст. Текст. Текст. Текст. Текст. Текст. Текст. Текст. Текст. Текст. Текст. Текст. Текст. Текст. Текст. Текст. </w:t>
      </w:r>
    </w:p>
    <w:p w14:paraId="57B9688A" w14:textId="77777777" w:rsidR="00FB460E" w:rsidRDefault="00FB460E" w:rsidP="00FB460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</w:t>
      </w:r>
    </w:p>
    <w:p w14:paraId="0A767EEB" w14:textId="43B851E3" w:rsidR="00BA432E" w:rsidRPr="00B02271" w:rsidRDefault="008D3E63" w:rsidP="005A0629">
      <w:pPr>
        <w:tabs>
          <w:tab w:val="center" w:pos="4820"/>
          <w:tab w:val="right" w:pos="963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A432E" w:rsidRPr="00BA432E">
        <w:rPr>
          <w:rFonts w:ascii="Times New Roman" w:eastAsia="Times New Roman" w:hAnsi="Times New Roman" w:cs="Times New Roman"/>
          <w:position w:val="-32"/>
          <w:sz w:val="24"/>
          <w:szCs w:val="24"/>
          <w:lang w:eastAsia="ru-RU"/>
        </w:rPr>
        <w:object w:dxaOrig="1359" w:dyaOrig="740" w14:anchorId="558FD8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36.6pt" o:ole="">
            <v:imagedata r:id="rId7" o:title=""/>
          </v:shape>
          <o:OLEObject Type="Embed" ProgID="Equation.DSMT4" ShapeID="_x0000_i1025" DrawAspect="Content" ObjectID="_1801548262" r:id="rId8"/>
        </w:object>
      </w:r>
      <w:r w:rsidR="00BA432E" w:rsidRPr="008D3E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D6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A432E" w:rsidRPr="00B0227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A432E" w:rsidRPr="008D3E6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A432E" w:rsidRPr="00B0227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67D99B0C" w14:textId="2C63E00F" w:rsidR="00FB460E" w:rsidRDefault="00FB460E" w:rsidP="00FB460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Текст. Текст. Текст</w:t>
      </w:r>
      <w:r w:rsidR="00BC3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</w:t>
      </w:r>
    </w:p>
    <w:p w14:paraId="541249CF" w14:textId="77777777" w:rsidR="00FB460E" w:rsidRDefault="00FB460E" w:rsidP="00FB460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</w:t>
      </w:r>
    </w:p>
    <w:p w14:paraId="0CCF609C" w14:textId="7D44CC1A" w:rsidR="00FB460E" w:rsidRDefault="00FB460E" w:rsidP="00FB460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Текст. Текст. Текст. Текст. Текст. Текст. Текст. Текст. Текст. Текст. Текст. Текст. Текст. Текст. Текст. Текст. Текст. </w:t>
      </w:r>
    </w:p>
    <w:p w14:paraId="41D09D3A" w14:textId="22C3A344" w:rsidR="00B02271" w:rsidRPr="00B02271" w:rsidRDefault="00B02271" w:rsidP="00FB30A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2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Пусть </w:t>
      </w:r>
      <w:r w:rsidRPr="00B022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B02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″ и </w:t>
      </w:r>
      <w:r w:rsidRPr="00B022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B02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′ – коэффициенты регрессии в уравнениях соответственно с высокими и низкими продуктивностями, </w:t>
      </w:r>
      <w:r w:rsidRPr="00B022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Y</w:t>
      </w:r>
      <w:r w:rsidRPr="00B02271">
        <w:rPr>
          <w:rFonts w:ascii="Times New Roman" w:eastAsia="Times New Roman" w:hAnsi="Times New Roman" w:cs="Times New Roman"/>
          <w:sz w:val="24"/>
          <w:szCs w:val="24"/>
          <w:lang w:eastAsia="ru-RU"/>
        </w:rPr>
        <w:t>″ – среднее значение высоких продуктивностей.</w:t>
      </w:r>
    </w:p>
    <w:p w14:paraId="7B2C8080" w14:textId="77777777" w:rsidR="00B02271" w:rsidRPr="00B02271" w:rsidRDefault="00B02271" w:rsidP="00FB30A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27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коэффициент колеблемости будет равен:</w:t>
      </w:r>
    </w:p>
    <w:p w14:paraId="754AA4CF" w14:textId="53802E7F" w:rsidR="00B02271" w:rsidRPr="00B02271" w:rsidRDefault="00CD6C4E" w:rsidP="005A0629">
      <w:pPr>
        <w:tabs>
          <w:tab w:val="center" w:pos="4962"/>
          <w:tab w:val="right" w:pos="9638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02271" w:rsidRPr="00B02271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140" w:dyaOrig="620" w14:anchorId="19FA72D7">
          <v:shape id="_x0000_i1026" type="#_x0000_t75" style="width:56.4pt;height:30.6pt" o:ole="">
            <v:imagedata r:id="rId9" o:title=""/>
          </v:shape>
          <o:OLEObject Type="Embed" ProgID="Equation.DSMT4" ShapeID="_x0000_i1026" DrawAspect="Content" ObjectID="_1801548263" r:id="rId10"/>
        </w:object>
      </w:r>
      <w:r w:rsidR="00B02271" w:rsidRPr="00B0227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02271" w:rsidRPr="00B0227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A432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02271" w:rsidRPr="00B0227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4BA19235" w14:textId="61EFD641" w:rsidR="00B02271" w:rsidRPr="00B02271" w:rsidRDefault="00B02271" w:rsidP="007E3F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 w:rsidRPr="00B022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d </w:t>
      </w:r>
      <w:r w:rsidRPr="00B0227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разность между коэффициентами регрессии (</w:t>
      </w:r>
      <w:r w:rsidRPr="00B022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B02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″ – </w:t>
      </w:r>
      <w:r w:rsidRPr="00B022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B02271">
        <w:rPr>
          <w:rFonts w:ascii="Times New Roman" w:eastAsia="Times New Roman" w:hAnsi="Times New Roman" w:cs="Times New Roman"/>
          <w:sz w:val="24"/>
          <w:szCs w:val="24"/>
          <w:lang w:eastAsia="ru-RU"/>
        </w:rPr>
        <w:t>′).</w:t>
      </w:r>
    </w:p>
    <w:p w14:paraId="1072E295" w14:textId="77777777" w:rsidR="00B02271" w:rsidRPr="00B02271" w:rsidRDefault="00B02271" w:rsidP="00FB30A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2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 результаты приведены в таблице 1.</w:t>
      </w:r>
    </w:p>
    <w:p w14:paraId="226B341D" w14:textId="77777777" w:rsidR="00B02271" w:rsidRPr="00B02271" w:rsidRDefault="00B02271" w:rsidP="00FB30A3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BB090A" w14:textId="77777777" w:rsidR="00B02271" w:rsidRPr="00B01CEE" w:rsidRDefault="00B02271" w:rsidP="00FB30A3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01CEE">
        <w:rPr>
          <w:rFonts w:ascii="Times New Roman" w:eastAsia="Times New Roman" w:hAnsi="Times New Roman" w:cs="Times New Roman"/>
          <w:b/>
          <w:lang w:eastAsia="ru-RU"/>
        </w:rPr>
        <w:t>Таблица</w:t>
      </w:r>
      <w:r w:rsidRPr="00B01CEE">
        <w:rPr>
          <w:rFonts w:ascii="Times New Roman" w:eastAsia="Times New Roman" w:hAnsi="Times New Roman" w:cs="Times New Roman"/>
          <w:b/>
          <w:lang w:val="en-US" w:eastAsia="ru-RU"/>
        </w:rPr>
        <w:t> </w:t>
      </w:r>
      <w:r w:rsidRPr="00B01CEE">
        <w:rPr>
          <w:rFonts w:ascii="Times New Roman" w:eastAsia="Times New Roman" w:hAnsi="Times New Roman" w:cs="Times New Roman"/>
          <w:b/>
          <w:lang w:eastAsia="ru-RU"/>
        </w:rPr>
        <w:t>1 – Динамика доли рынка и нормы прибыли</w:t>
      </w:r>
    </w:p>
    <w:tbl>
      <w:tblPr>
        <w:tblW w:w="3356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4194"/>
        <w:gridCol w:w="616"/>
        <w:gridCol w:w="647"/>
        <w:gridCol w:w="540"/>
        <w:gridCol w:w="512"/>
      </w:tblGrid>
      <w:tr w:rsidR="00B02271" w:rsidRPr="00B02271" w14:paraId="743F5342" w14:textId="77777777" w:rsidTr="008401B0">
        <w:trPr>
          <w:cantSplit/>
          <w:trHeight w:val="20"/>
          <w:jc w:val="center"/>
        </w:trPr>
        <w:tc>
          <w:tcPr>
            <w:tcW w:w="3222" w:type="pct"/>
            <w:vMerge w:val="restart"/>
            <w:tcMar>
              <w:top w:w="0" w:type="dxa"/>
              <w:bottom w:w="0" w:type="dxa"/>
            </w:tcMar>
            <w:vAlign w:val="center"/>
          </w:tcPr>
          <w:p w14:paraId="73568990" w14:textId="77777777" w:rsidR="00B02271" w:rsidRPr="00B02271" w:rsidRDefault="00B02271" w:rsidP="00B01C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1778" w:type="pct"/>
            <w:gridSpan w:val="4"/>
            <w:tcMar>
              <w:top w:w="0" w:type="dxa"/>
              <w:bottom w:w="0" w:type="dxa"/>
            </w:tcMar>
            <w:vAlign w:val="center"/>
          </w:tcPr>
          <w:p w14:paraId="59E85DB6" w14:textId="77777777" w:rsidR="00B02271" w:rsidRPr="00B02271" w:rsidRDefault="00B02271" w:rsidP="00B01C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 прибыли %,</w:t>
            </w:r>
          </w:p>
          <w:p w14:paraId="425FE775" w14:textId="77777777" w:rsidR="00B02271" w:rsidRPr="00B02271" w:rsidRDefault="00B02271" w:rsidP="00B01C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доле рынка %</w:t>
            </w:r>
          </w:p>
        </w:tc>
      </w:tr>
      <w:tr w:rsidR="00B02271" w:rsidRPr="00B02271" w14:paraId="459C1948" w14:textId="77777777" w:rsidTr="008401B0">
        <w:trPr>
          <w:cantSplit/>
          <w:trHeight w:val="20"/>
          <w:jc w:val="center"/>
        </w:trPr>
        <w:tc>
          <w:tcPr>
            <w:tcW w:w="3222" w:type="pct"/>
            <w:vMerge/>
            <w:tcMar>
              <w:top w:w="0" w:type="dxa"/>
              <w:bottom w:w="0" w:type="dxa"/>
            </w:tcMar>
            <w:vAlign w:val="center"/>
          </w:tcPr>
          <w:p w14:paraId="3C6A106D" w14:textId="77777777" w:rsidR="00B02271" w:rsidRPr="00B02271" w:rsidRDefault="00B02271" w:rsidP="00B01C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  <w:tcMar>
              <w:top w:w="0" w:type="dxa"/>
              <w:bottom w:w="0" w:type="dxa"/>
            </w:tcMar>
          </w:tcPr>
          <w:p w14:paraId="4C04EC68" w14:textId="77777777" w:rsidR="00B02271" w:rsidRPr="00B02271" w:rsidRDefault="00B02271" w:rsidP="00B01C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7" w:type="pct"/>
            <w:tcMar>
              <w:top w:w="0" w:type="dxa"/>
              <w:bottom w:w="0" w:type="dxa"/>
            </w:tcMar>
          </w:tcPr>
          <w:p w14:paraId="73EE1E35" w14:textId="77777777" w:rsidR="00B02271" w:rsidRPr="00B02271" w:rsidRDefault="00B02271" w:rsidP="00B01C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20–30</w:t>
            </w:r>
          </w:p>
        </w:tc>
        <w:tc>
          <w:tcPr>
            <w:tcW w:w="415" w:type="pct"/>
            <w:tcMar>
              <w:top w:w="0" w:type="dxa"/>
              <w:bottom w:w="0" w:type="dxa"/>
            </w:tcMar>
          </w:tcPr>
          <w:p w14:paraId="1109BB96" w14:textId="77777777" w:rsidR="00B02271" w:rsidRPr="00B02271" w:rsidRDefault="00B02271" w:rsidP="00B01C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91" w:type="pct"/>
            <w:tcMar>
              <w:top w:w="0" w:type="dxa"/>
              <w:bottom w:w="0" w:type="dxa"/>
            </w:tcMar>
          </w:tcPr>
          <w:p w14:paraId="3D6E255C" w14:textId="77777777" w:rsidR="00B02271" w:rsidRPr="00B02271" w:rsidRDefault="00B02271" w:rsidP="00B01C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&gt; 40</w:t>
            </w:r>
          </w:p>
        </w:tc>
      </w:tr>
      <w:tr w:rsidR="00B02271" w:rsidRPr="00B02271" w14:paraId="6D37356F" w14:textId="77777777" w:rsidTr="008401B0">
        <w:trPr>
          <w:trHeight w:val="20"/>
          <w:jc w:val="center"/>
        </w:trPr>
        <w:tc>
          <w:tcPr>
            <w:tcW w:w="3222" w:type="pct"/>
            <w:tcMar>
              <w:top w:w="0" w:type="dxa"/>
              <w:bottom w:w="0" w:type="dxa"/>
            </w:tcMar>
            <w:vAlign w:val="center"/>
          </w:tcPr>
          <w:p w14:paraId="1082B75A" w14:textId="77777777" w:rsidR="00B02271" w:rsidRPr="00B02271" w:rsidRDefault="00B02271" w:rsidP="00B01C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Производящие потребительские товары</w:t>
            </w:r>
          </w:p>
        </w:tc>
        <w:tc>
          <w:tcPr>
            <w:tcW w:w="473" w:type="pct"/>
            <w:tcMar>
              <w:top w:w="0" w:type="dxa"/>
              <w:bottom w:w="0" w:type="dxa"/>
            </w:tcMar>
          </w:tcPr>
          <w:p w14:paraId="01C0A328" w14:textId="77777777" w:rsidR="00B02271" w:rsidRPr="00B02271" w:rsidRDefault="00B02271" w:rsidP="00B01C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7" w:type="pct"/>
            <w:tcMar>
              <w:top w:w="0" w:type="dxa"/>
              <w:bottom w:w="0" w:type="dxa"/>
            </w:tcMar>
          </w:tcPr>
          <w:p w14:paraId="563FF67E" w14:textId="77777777" w:rsidR="00B02271" w:rsidRPr="00B02271" w:rsidRDefault="00B02271" w:rsidP="00B01C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5" w:type="pct"/>
            <w:tcMar>
              <w:top w:w="0" w:type="dxa"/>
              <w:bottom w:w="0" w:type="dxa"/>
            </w:tcMar>
          </w:tcPr>
          <w:p w14:paraId="6EE02C1F" w14:textId="77777777" w:rsidR="00B02271" w:rsidRPr="00B02271" w:rsidRDefault="00B02271" w:rsidP="00B01C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1" w:type="pct"/>
            <w:tcMar>
              <w:top w:w="0" w:type="dxa"/>
              <w:bottom w:w="0" w:type="dxa"/>
            </w:tcMar>
          </w:tcPr>
          <w:p w14:paraId="290984C5" w14:textId="77777777" w:rsidR="00B02271" w:rsidRPr="00B02271" w:rsidRDefault="00B02271" w:rsidP="00B01C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B02271" w:rsidRPr="00B02271" w14:paraId="3F286EA3" w14:textId="77777777" w:rsidTr="008401B0">
        <w:trPr>
          <w:trHeight w:val="20"/>
          <w:jc w:val="center"/>
        </w:trPr>
        <w:tc>
          <w:tcPr>
            <w:tcW w:w="3222" w:type="pct"/>
            <w:tcMar>
              <w:top w:w="0" w:type="dxa"/>
              <w:bottom w:w="0" w:type="dxa"/>
            </w:tcMar>
            <w:vAlign w:val="center"/>
          </w:tcPr>
          <w:p w14:paraId="7A09C22E" w14:textId="77777777" w:rsidR="00B02271" w:rsidRPr="00B02271" w:rsidRDefault="00B02271" w:rsidP="00B01C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Производящие товары производственного назначения</w:t>
            </w:r>
          </w:p>
        </w:tc>
        <w:tc>
          <w:tcPr>
            <w:tcW w:w="473" w:type="pct"/>
            <w:tcMar>
              <w:top w:w="0" w:type="dxa"/>
              <w:bottom w:w="0" w:type="dxa"/>
            </w:tcMar>
          </w:tcPr>
          <w:p w14:paraId="636B5D6A" w14:textId="77777777" w:rsidR="00B02271" w:rsidRPr="00B02271" w:rsidRDefault="00B02271" w:rsidP="00B01C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7" w:type="pct"/>
            <w:tcMar>
              <w:top w:w="0" w:type="dxa"/>
              <w:bottom w:w="0" w:type="dxa"/>
            </w:tcMar>
          </w:tcPr>
          <w:p w14:paraId="28EB8B58" w14:textId="77777777" w:rsidR="00B02271" w:rsidRPr="00B02271" w:rsidRDefault="00B02271" w:rsidP="00B01C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15" w:type="pct"/>
            <w:tcMar>
              <w:top w:w="0" w:type="dxa"/>
              <w:bottom w:w="0" w:type="dxa"/>
            </w:tcMar>
          </w:tcPr>
          <w:p w14:paraId="6F4D6EA8" w14:textId="77777777" w:rsidR="00B02271" w:rsidRPr="00B02271" w:rsidRDefault="00B02271" w:rsidP="00B01C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91" w:type="pct"/>
            <w:tcMar>
              <w:top w:w="0" w:type="dxa"/>
              <w:bottom w:w="0" w:type="dxa"/>
            </w:tcMar>
          </w:tcPr>
          <w:p w14:paraId="089B0C02" w14:textId="77777777" w:rsidR="00B02271" w:rsidRPr="00B02271" w:rsidRDefault="00B02271" w:rsidP="00B01C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</w:tbl>
    <w:p w14:paraId="0D2928C0" w14:textId="77777777" w:rsidR="00B02271" w:rsidRPr="00B02271" w:rsidRDefault="00B02271" w:rsidP="00FB30A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0D16CD" w14:textId="5A4ABB1F" w:rsidR="00B02271" w:rsidRDefault="00B02271" w:rsidP="00FB30A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27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Исходные данные представлены на рисунке</w:t>
      </w:r>
      <w:r w:rsidR="00A46A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0227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23D4010D" w14:textId="77777777" w:rsidR="00634DF7" w:rsidRPr="00B02271" w:rsidRDefault="00634DF7" w:rsidP="00FB30A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30BA7F" w14:textId="5D3FB7A2" w:rsidR="00B02271" w:rsidRPr="00B02271" w:rsidRDefault="00B02271" w:rsidP="00FB30A3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60962934"/>
      <w:r w:rsidRPr="00B022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14543C" wp14:editId="7335425C">
            <wp:extent cx="3943350" cy="100965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C6F7613" w14:textId="2151D27A" w:rsidR="00B02271" w:rsidRPr="00B01CEE" w:rsidRDefault="00B02271" w:rsidP="00FB30A3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01CEE">
        <w:rPr>
          <w:rFonts w:ascii="Times New Roman" w:eastAsia="Times New Roman" w:hAnsi="Times New Roman" w:cs="Times New Roman"/>
          <w:b/>
          <w:lang w:eastAsia="ru-RU"/>
        </w:rPr>
        <w:t>Рисунок</w:t>
      </w:r>
      <w:r w:rsidR="00A46A47">
        <w:rPr>
          <w:rFonts w:ascii="Times New Roman" w:eastAsia="Times New Roman" w:hAnsi="Times New Roman" w:cs="Times New Roman"/>
          <w:b/>
          <w:lang w:eastAsia="ru-RU"/>
        </w:rPr>
        <w:t> </w:t>
      </w:r>
      <w:r w:rsidRPr="00B01CEE">
        <w:rPr>
          <w:rFonts w:ascii="Times New Roman" w:eastAsia="Times New Roman" w:hAnsi="Times New Roman" w:cs="Times New Roman"/>
          <w:b/>
          <w:lang w:eastAsia="ru-RU"/>
        </w:rPr>
        <w:t>1 – Чистая прибыль компании «TOYOTA»</w:t>
      </w:r>
    </w:p>
    <w:bookmarkEnd w:id="2"/>
    <w:p w14:paraId="6B118BDE" w14:textId="77777777" w:rsidR="00B02271" w:rsidRPr="00B02271" w:rsidRDefault="00B02271" w:rsidP="00FB30A3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2FC31B" w14:textId="52A9AB62" w:rsidR="00B02271" w:rsidRPr="00B02271" w:rsidRDefault="00B02271" w:rsidP="00FB30A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Заключение.</w:t>
      </w:r>
      <w:r w:rsidRPr="00B02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3FB3" w:rsidRPr="007E3F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Заключение.</w:t>
      </w:r>
      <w:r w:rsidR="007E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3FB3" w:rsidRPr="007E3F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  <w:r w:rsidR="00BC3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(2)</w:t>
      </w:r>
      <w:r w:rsidR="007E3FB3" w:rsidRPr="007E3F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E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3FB3" w:rsidRPr="007E3F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Заключение.</w:t>
      </w:r>
      <w:r w:rsidR="007E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3FB3" w:rsidRPr="007E3F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Заключение.</w:t>
      </w:r>
      <w:r w:rsidR="007E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3FB3" w:rsidRPr="007E3F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Заключение.</w:t>
      </w:r>
      <w:r w:rsidR="007E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3FB3" w:rsidRPr="007E3F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Заключение.</w:t>
      </w:r>
      <w:r w:rsidR="007E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28FD" w:rsidRPr="007E3F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Заключение.</w:t>
      </w:r>
      <w:r w:rsidR="0079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28FD" w:rsidRPr="007E3F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Заключение.</w:t>
      </w:r>
      <w:r w:rsidR="0079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28FD" w:rsidRPr="007E3F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Заключение.</w:t>
      </w:r>
      <w:r w:rsidR="0079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28FD" w:rsidRPr="007E3F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Заключение.</w:t>
      </w:r>
      <w:r w:rsidR="0079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28FD" w:rsidRPr="007E3F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Заключение.</w:t>
      </w:r>
      <w:r w:rsidR="0079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28FD" w:rsidRPr="007E3F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Заключение.</w:t>
      </w:r>
      <w:r w:rsidR="007928FD" w:rsidRPr="0079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28FD" w:rsidRPr="007E3F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Заключение.</w:t>
      </w:r>
      <w:r w:rsidR="0079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28FD" w:rsidRPr="007E3F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Заключение.</w:t>
      </w:r>
      <w:r w:rsidR="0079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28FD" w:rsidRPr="007E3F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Заключение.</w:t>
      </w:r>
      <w:r w:rsidR="0079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28FD" w:rsidRPr="007E3F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Заключение.</w:t>
      </w:r>
      <w:r w:rsidR="0079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28FD" w:rsidRPr="007E3F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Заключение.</w:t>
      </w:r>
      <w:r w:rsidR="0079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28FD" w:rsidRPr="007E3F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Заключение.</w:t>
      </w:r>
      <w:r w:rsidR="0079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28FD" w:rsidRPr="007E3F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Заключение.</w:t>
      </w:r>
      <w:r w:rsidR="0079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25C953D" w14:textId="77777777" w:rsidR="00B02271" w:rsidRPr="00B02271" w:rsidRDefault="00B02271" w:rsidP="007E3FB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D60202" w14:textId="653B976B" w:rsidR="00B02271" w:rsidRDefault="00B02271" w:rsidP="007E3FB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aps/>
          <w:sz w:val="20"/>
          <w:szCs w:val="20"/>
          <w:lang w:eastAsia="ru-RU"/>
        </w:rPr>
      </w:pPr>
      <w:r w:rsidRPr="007E3FB3">
        <w:rPr>
          <w:rFonts w:ascii="Times New Roman" w:eastAsia="Times New Roman" w:hAnsi="Times New Roman" w:cs="Times New Roman"/>
          <w:i/>
          <w:caps/>
          <w:sz w:val="20"/>
          <w:szCs w:val="20"/>
          <w:lang w:eastAsia="ru-RU"/>
        </w:rPr>
        <w:t>Список литературы</w:t>
      </w:r>
    </w:p>
    <w:p w14:paraId="3A2CDBC2" w14:textId="77777777" w:rsidR="007E3FB3" w:rsidRPr="007E3FB3" w:rsidRDefault="007E3FB3" w:rsidP="007E3FB3">
      <w:pPr>
        <w:tabs>
          <w:tab w:val="left" w:pos="851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i/>
          <w:caps/>
          <w:sz w:val="20"/>
          <w:szCs w:val="20"/>
          <w:lang w:eastAsia="ru-RU"/>
        </w:rPr>
      </w:pPr>
    </w:p>
    <w:p w14:paraId="2117A6B9" w14:textId="009F2143" w:rsidR="00B02271" w:rsidRPr="00B02271" w:rsidRDefault="00B02271" w:rsidP="007E3FB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2271">
        <w:rPr>
          <w:rFonts w:ascii="Times New Roman" w:eastAsia="Times New Roman" w:hAnsi="Times New Roman" w:cs="Times New Roman"/>
          <w:sz w:val="20"/>
          <w:szCs w:val="20"/>
          <w:lang w:eastAsia="ru-RU"/>
        </w:rPr>
        <w:t>Гринин, Л. Е. Социальная макроэволюция: генезис и трансформации Мир-Системы / Л. Е. Гринин, А.</w:t>
      </w:r>
      <w:r w:rsidR="007928F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B02271">
        <w:rPr>
          <w:rFonts w:ascii="Times New Roman" w:eastAsia="Times New Roman" w:hAnsi="Times New Roman" w:cs="Times New Roman"/>
          <w:sz w:val="20"/>
          <w:szCs w:val="20"/>
          <w:lang w:eastAsia="ru-RU"/>
        </w:rPr>
        <w:t>В. Коротаев. – Изд. 2-е. – М. : URSS, 2013. – 567 с.</w:t>
      </w:r>
    </w:p>
    <w:p w14:paraId="2363D030" w14:textId="77777777" w:rsidR="00B02271" w:rsidRPr="00B02271" w:rsidRDefault="00B02271" w:rsidP="007E3FB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2271">
        <w:rPr>
          <w:rFonts w:ascii="Times New Roman" w:eastAsia="Times New Roman" w:hAnsi="Times New Roman" w:cs="Times New Roman"/>
          <w:sz w:val="20"/>
          <w:szCs w:val="20"/>
          <w:lang w:eastAsia="ru-RU"/>
        </w:rPr>
        <w:t>Влияние магнитного поля на скорость ионной компоненты пучка частиц, образующихся при наносекундном вакуумном перекрытии диэлектриков / А. С. Гилев [и др.] // Изв. вузов. Физика. – 2012. – Т. 55, № 6. – С. 3–6.</w:t>
      </w:r>
    </w:p>
    <w:p w14:paraId="47369821" w14:textId="77777777" w:rsidR="00B02271" w:rsidRPr="00B02271" w:rsidRDefault="00B02271" w:rsidP="007E3FB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2271">
        <w:rPr>
          <w:rFonts w:ascii="Times New Roman" w:eastAsia="Times New Roman" w:hAnsi="Times New Roman" w:cs="Times New Roman"/>
          <w:sz w:val="20"/>
          <w:szCs w:val="20"/>
          <w:lang w:eastAsia="ru-RU"/>
        </w:rPr>
        <w:t>Национальный статистический комитет Республики Беларусь [Электронный ресурс]. – Режим доступа: http://belstat.gov.by/. – Дата доступа: 24.06.2016.</w:t>
      </w:r>
    </w:p>
    <w:p w14:paraId="147709E6" w14:textId="77777777" w:rsidR="00B02271" w:rsidRPr="00B02271" w:rsidRDefault="00B02271" w:rsidP="007E3FB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2271">
        <w:rPr>
          <w:rFonts w:ascii="Times New Roman" w:eastAsia="Times New Roman" w:hAnsi="Times New Roman" w:cs="Times New Roman"/>
          <w:sz w:val="20"/>
          <w:szCs w:val="20"/>
          <w:lang w:eastAsia="ru-RU"/>
        </w:rPr>
        <w:t>Божанов, П. В. Направления развития транспортного комплекса Беларуси / П. В. Божанов // Современные концепции развития транспорта и логистики в Республике Беларусь : сб. ст. / Ин-т бизнеса и менеджмента технологий Белорус. гос. ун-та ; сост.: В. В. Апанасович, А. Д. Молокович. – Минск, 2014. – С. 56–64.</w:t>
      </w:r>
    </w:p>
    <w:p w14:paraId="35C38337" w14:textId="3F74D8D4" w:rsidR="00B02271" w:rsidRPr="00B02271" w:rsidRDefault="00B02271" w:rsidP="007E3FB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2271">
        <w:rPr>
          <w:rFonts w:ascii="Times New Roman" w:eastAsia="Times New Roman" w:hAnsi="Times New Roman" w:cs="Times New Roman"/>
          <w:sz w:val="20"/>
          <w:szCs w:val="20"/>
          <w:lang w:eastAsia="ru-RU"/>
        </w:rPr>
        <w:t>Семин, А. А. Проблемы квалификации преступлений с административной преюдицией / А. А. Семин</w:t>
      </w:r>
      <w:r w:rsidR="005A062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B02271">
        <w:rPr>
          <w:rFonts w:ascii="Times New Roman" w:eastAsia="Times New Roman" w:hAnsi="Times New Roman" w:cs="Times New Roman"/>
          <w:sz w:val="20"/>
          <w:szCs w:val="20"/>
          <w:lang w:eastAsia="ru-RU"/>
        </w:rPr>
        <w:t>// Проблемы борьбы с преступностью и подготовки кадров для органов внутренних дел Республики Беларусь : междунар. науч.-практ. конф., посвящ. Дню белорус. науки, Минск, 25 янв. 2008 г. : тез. докл. / Акад. М-ва внутр. дел Респ. Беларусь ; ред.: Н. И. Минич [и др.]. – Минск, 2008. – С. 263–264.</w:t>
      </w:r>
    </w:p>
    <w:p w14:paraId="288D9379" w14:textId="3588B5B7" w:rsidR="00B02271" w:rsidRPr="00B02271" w:rsidRDefault="00B02271" w:rsidP="007E3FB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2271">
        <w:rPr>
          <w:rFonts w:ascii="Times New Roman" w:eastAsia="Times New Roman" w:hAnsi="Times New Roman" w:cs="Times New Roman"/>
          <w:sz w:val="20"/>
          <w:szCs w:val="20"/>
          <w:lang w:eastAsia="ru-RU"/>
        </w:rPr>
        <w:t>Агапов, Е. П. Методы исследования в социальной работе : учеб. пособие / Е. П. Агапов. – 2-е изд. – М.</w:t>
      </w:r>
      <w:r w:rsidR="005A062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B02271">
        <w:rPr>
          <w:rFonts w:ascii="Times New Roman" w:eastAsia="Times New Roman" w:hAnsi="Times New Roman" w:cs="Times New Roman"/>
          <w:sz w:val="20"/>
          <w:szCs w:val="20"/>
          <w:lang w:eastAsia="ru-RU"/>
        </w:rPr>
        <w:t>: Дашков и К° ; Ростов н/Д : Наука-Спектр, 2013. – 223 с.</w:t>
      </w:r>
    </w:p>
    <w:p w14:paraId="113A5A65" w14:textId="1EA5FC05" w:rsidR="007928FD" w:rsidRDefault="00B02271" w:rsidP="00FB30A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</w:pPr>
      <w:r w:rsidRPr="00634DF7">
        <w:rPr>
          <w:rFonts w:ascii="Times New Roman" w:eastAsia="Times New Roman" w:hAnsi="Times New Roman" w:cs="Times New Roman"/>
          <w:sz w:val="20"/>
          <w:szCs w:val="20"/>
          <w:lang w:eastAsia="ru-RU"/>
        </w:rPr>
        <w:t>Кирюхина, Л. Г. Национальная библиотека Беларуси как координационный и методический центр [Электронный ресурс] / Л. Г. Кирюхина, Л. А. Демешко // Публічныя бібліятэкі на пачатку XXI ст. : зб. арт. / Нац. б-ка Беларусі ; склад. В. А. Рынкевіч ; рэд.: М. Г. Алейнік, А. Я. Іванова. – Мінск, 2008. – 1 электрон. апт. дыск (CD-ROM).</w:t>
      </w:r>
    </w:p>
    <w:sectPr w:rsidR="007928FD" w:rsidSect="00CD6C4E">
      <w:headerReference w:type="default" r:id="rId12"/>
      <w:footerReference w:type="defaul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30F3C" w14:textId="77777777" w:rsidR="00CA64C8" w:rsidRDefault="00CA64C8">
      <w:pPr>
        <w:spacing w:after="0" w:line="240" w:lineRule="auto"/>
      </w:pPr>
      <w:r>
        <w:separator/>
      </w:r>
    </w:p>
  </w:endnote>
  <w:endnote w:type="continuationSeparator" w:id="0">
    <w:p w14:paraId="5539D83D" w14:textId="77777777" w:rsidR="00CA64C8" w:rsidRDefault="00CA6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81017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5864921" w14:textId="412BA9CC" w:rsidR="007928FD" w:rsidRPr="00CD6C4E" w:rsidRDefault="007928FD" w:rsidP="00CD6C4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928F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928F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928F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13D1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928F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1871839415"/>
      <w:docPartObj>
        <w:docPartGallery w:val="Page Numbers (Bottom of Page)"/>
        <w:docPartUnique/>
      </w:docPartObj>
    </w:sdtPr>
    <w:sdtEndPr/>
    <w:sdtContent>
      <w:p w14:paraId="1E096DD8" w14:textId="0A06F6CE" w:rsidR="007928FD" w:rsidRPr="007928FD" w:rsidRDefault="007928F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928F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928F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928F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928FD">
          <w:rPr>
            <w:rFonts w:ascii="Times New Roman" w:hAnsi="Times New Roman" w:cs="Times New Roman"/>
            <w:sz w:val="24"/>
            <w:szCs w:val="24"/>
          </w:rPr>
          <w:t>2</w:t>
        </w:r>
        <w:r w:rsidRPr="007928F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74482BC" w14:textId="77777777" w:rsidR="007928FD" w:rsidRDefault="007928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85C95" w14:textId="77777777" w:rsidR="00CA64C8" w:rsidRDefault="00CA64C8">
      <w:pPr>
        <w:spacing w:after="0" w:line="240" w:lineRule="auto"/>
      </w:pPr>
      <w:r>
        <w:separator/>
      </w:r>
    </w:p>
  </w:footnote>
  <w:footnote w:type="continuationSeparator" w:id="0">
    <w:p w14:paraId="459775B2" w14:textId="77777777" w:rsidR="00CA64C8" w:rsidRDefault="00CA6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CDFAB" w14:textId="6A640EC4" w:rsidR="004F2A19" w:rsidRPr="004F2A19" w:rsidRDefault="00CA64C8">
    <w:pPr>
      <w:pStyle w:val="a3"/>
      <w:jc w:val="right"/>
      <w:rPr>
        <w:sz w:val="18"/>
        <w:szCs w:val="18"/>
      </w:rPr>
    </w:pPr>
  </w:p>
  <w:p w14:paraId="0CCD5BB2" w14:textId="77777777" w:rsidR="004F2A19" w:rsidRDefault="00CA64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D17A4"/>
    <w:multiLevelType w:val="hybridMultilevel"/>
    <w:tmpl w:val="2222E91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271"/>
    <w:rsid w:val="00074E40"/>
    <w:rsid w:val="001744A9"/>
    <w:rsid w:val="001D4EB0"/>
    <w:rsid w:val="00252721"/>
    <w:rsid w:val="003A177B"/>
    <w:rsid w:val="003B63CD"/>
    <w:rsid w:val="00583897"/>
    <w:rsid w:val="0058792A"/>
    <w:rsid w:val="005A0629"/>
    <w:rsid w:val="00634DF7"/>
    <w:rsid w:val="00692817"/>
    <w:rsid w:val="0070360C"/>
    <w:rsid w:val="007313D3"/>
    <w:rsid w:val="00753F53"/>
    <w:rsid w:val="007928FD"/>
    <w:rsid w:val="007C7BD7"/>
    <w:rsid w:val="007D1D09"/>
    <w:rsid w:val="007E3FB3"/>
    <w:rsid w:val="008569EE"/>
    <w:rsid w:val="008A174F"/>
    <w:rsid w:val="008D3E63"/>
    <w:rsid w:val="009912FD"/>
    <w:rsid w:val="009A12E7"/>
    <w:rsid w:val="00A46A47"/>
    <w:rsid w:val="00B01CEE"/>
    <w:rsid w:val="00B02271"/>
    <w:rsid w:val="00B13D16"/>
    <w:rsid w:val="00BA432E"/>
    <w:rsid w:val="00BC3104"/>
    <w:rsid w:val="00C1148B"/>
    <w:rsid w:val="00CA64C8"/>
    <w:rsid w:val="00CA6DEF"/>
    <w:rsid w:val="00CD6C4E"/>
    <w:rsid w:val="00D76FFC"/>
    <w:rsid w:val="00DA225A"/>
    <w:rsid w:val="00FB30A3"/>
    <w:rsid w:val="00FB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1D63B"/>
  <w15:docId w15:val="{C85CF418-EDE0-4AC5-A2D6-821B533C7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022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0227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792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8F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53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3F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61111111111111"/>
          <c:y val="0.11851851851851852"/>
          <c:w val="0.80277777777777781"/>
          <c:h val="0.47407407407407409"/>
        </c:manualLayout>
      </c:layout>
      <c:scatterChart>
        <c:scatterStyle val="lineMarker"/>
        <c:varyColors val="0"/>
        <c:ser>
          <c:idx val="0"/>
          <c:order val="0"/>
          <c:spPr>
            <a:ln w="12670">
              <a:solidFill>
                <a:srgbClr val="00000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dLbls>
            <c:spPr>
              <a:noFill/>
              <a:ln w="2534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98" b="0" i="0" u="none" strike="noStrike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Arial Cyr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numRef>
              <c:f>Лист1!$A$1:$A$5</c:f>
              <c:numCache>
                <c:formatCode>General</c:formatCode>
                <c:ptCount val="5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</c:numCache>
            </c:numRef>
          </c:xVal>
          <c:yVal>
            <c:numRef>
              <c:f>Лист1!$B$1:$B$5</c:f>
              <c:numCache>
                <c:formatCode>General</c:formatCode>
                <c:ptCount val="5"/>
                <c:pt idx="0">
                  <c:v>5.22</c:v>
                </c:pt>
                <c:pt idx="1">
                  <c:v>8.1199999999999992</c:v>
                </c:pt>
                <c:pt idx="2">
                  <c:v>10.41</c:v>
                </c:pt>
                <c:pt idx="3">
                  <c:v>10.59</c:v>
                </c:pt>
                <c:pt idx="4">
                  <c:v>11.19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6E01-4E21-9397-10E63E3446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6998144"/>
        <c:axId val="247000064"/>
      </c:scatterChart>
      <c:valAx>
        <c:axId val="24699814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98" b="0" i="0" u="none" strike="noStrike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Arial Cyr"/>
                    <a:cs typeface="Times New Roman" panose="02020603050405020304" pitchFamily="18" charset="0"/>
                  </a:defRPr>
                </a:pPr>
                <a:r>
                  <a:rPr lang="ru-RU" sz="898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Период</a:t>
                </a:r>
              </a:p>
            </c:rich>
          </c:tx>
          <c:layout>
            <c:manualLayout>
              <c:xMode val="edge"/>
              <c:yMode val="edge"/>
              <c:x val="0.4194444444444444"/>
              <c:y val="0.84444465783240519"/>
            </c:manualLayout>
          </c:layout>
          <c:overlay val="0"/>
          <c:spPr>
            <a:noFill/>
            <a:ln w="2534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8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7000064"/>
        <c:crosses val="autoZero"/>
        <c:crossBetween val="midCat"/>
      </c:valAx>
      <c:valAx>
        <c:axId val="247000064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898" b="0" i="0" u="none" strike="noStrike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Arial Cyr"/>
                    <a:cs typeface="Times New Roman" panose="02020603050405020304" pitchFamily="18" charset="0"/>
                  </a:defRPr>
                </a:pPr>
                <a:r>
                  <a:rPr lang="ru-RU" sz="898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млрд. $</a:t>
                </a:r>
              </a:p>
            </c:rich>
          </c:tx>
          <c:layout>
            <c:manualLayout>
              <c:xMode val="edge"/>
              <c:yMode val="edge"/>
              <c:x val="1.3888888888888888E-2"/>
              <c:y val="0.2148146725561744"/>
            </c:manualLayout>
          </c:layout>
          <c:overlay val="0"/>
          <c:spPr>
            <a:noFill/>
            <a:ln w="2534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8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Arial Cyr"/>
                <a:cs typeface="Times New Roman" panose="02020603050405020304" pitchFamily="18" charset="0"/>
              </a:defRPr>
            </a:pPr>
            <a:endParaRPr lang="ru-RU"/>
          </a:p>
        </c:txPr>
        <c:crossAx val="246998144"/>
        <c:crosses val="autoZero"/>
        <c:crossBetween val="midCat"/>
      </c:valAx>
      <c:spPr>
        <a:noFill/>
        <a:ln w="2534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499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VR</dc:creator>
  <cp:lastModifiedBy>Андрей</cp:lastModifiedBy>
  <cp:revision>2</cp:revision>
  <dcterms:created xsi:type="dcterms:W3CDTF">2025-02-20T06:18:00Z</dcterms:created>
  <dcterms:modified xsi:type="dcterms:W3CDTF">2025-02-20T06:18:00Z</dcterms:modified>
</cp:coreProperties>
</file>