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thinThickThinSmallGap" w:sz="18" w:space="0" w:color="auto"/>
          <w:bottom w:val="thinThickThinSmallGap" w:sz="18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02271" w:rsidRPr="00FB30A3" w14:paraId="0E645186" w14:textId="77777777" w:rsidTr="003A177B">
        <w:trPr>
          <w:trHeight w:val="125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B4E3E7" w14:textId="0F1C3BE0" w:rsidR="003B63CD" w:rsidRPr="003B63CD" w:rsidRDefault="00B13D16" w:rsidP="003B6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</w:pPr>
            <w:bookmarkStart w:id="0" w:name="_Hlk60943285"/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val="en-US" w:eastAsia="ru-RU"/>
              </w:rPr>
              <w:t>V</w:t>
            </w:r>
            <w:r w:rsidR="00645E27"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val="en-US" w:eastAsia="ru-RU"/>
              </w:rPr>
              <w:t>I</w:t>
            </w:r>
            <w:r w:rsidR="003B63CD" w:rsidRPr="003B63CD"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  <w:t xml:space="preserve"> Республиканская научно-практическая конференция-конкурс</w:t>
            </w:r>
          </w:p>
          <w:p w14:paraId="44980696" w14:textId="5737AA4F" w:rsidR="003B63CD" w:rsidRPr="003B63CD" w:rsidRDefault="003B63CD" w:rsidP="003B6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</w:pPr>
            <w:r w:rsidRPr="003B63CD"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  <w:t>научно-исследовательских работ учащихся средних,</w:t>
            </w:r>
          </w:p>
          <w:p w14:paraId="17417107" w14:textId="0D8D6EDF" w:rsidR="003B63CD" w:rsidRPr="003B63CD" w:rsidRDefault="003B63CD" w:rsidP="003B6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</w:pPr>
            <w:r w:rsidRPr="003B63CD"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  <w:t>средних специальных учебных заведений и студентов вузов</w:t>
            </w:r>
          </w:p>
          <w:p w14:paraId="6679D06B" w14:textId="40918FBB" w:rsidR="003B63CD" w:rsidRDefault="003B63CD" w:rsidP="003B6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</w:pPr>
            <w:r w:rsidRPr="003B63CD"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sz w:val="24"/>
                <w:szCs w:val="24"/>
                <w:lang w:eastAsia="ru-RU"/>
              </w:rPr>
              <w:t>«От Альфа к Омеге…»</w:t>
            </w:r>
          </w:p>
          <w:p w14:paraId="1BE0ABF0" w14:textId="5A5E15DE" w:rsidR="00B02271" w:rsidRPr="00FB30A3" w:rsidRDefault="00B02271" w:rsidP="003B63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20"/>
                <w:sz w:val="24"/>
                <w:szCs w:val="24"/>
                <w:lang w:eastAsia="ru-RU"/>
              </w:rPr>
            </w:pPr>
            <w:r w:rsidRPr="00FB30A3">
              <w:rPr>
                <w:rFonts w:ascii="Times New Roman" w:eastAsia="Times New Roman" w:hAnsi="Times New Roman" w:cs="Times New Roman"/>
                <w:iCs/>
                <w:spacing w:val="20"/>
                <w:sz w:val="24"/>
                <w:szCs w:val="24"/>
                <w:lang w:eastAsia="ru-RU"/>
              </w:rPr>
              <w:t>Секция 2. Прикладная математика</w:t>
            </w:r>
          </w:p>
          <w:p w14:paraId="1530DB93" w14:textId="1C05213E" w:rsidR="00B02271" w:rsidRPr="00FB30A3" w:rsidRDefault="00B02271" w:rsidP="00FB3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aps/>
                <w:spacing w:val="20"/>
                <w:sz w:val="24"/>
                <w:szCs w:val="24"/>
                <w:lang w:eastAsia="ru-RU"/>
              </w:rPr>
            </w:pPr>
            <w:r w:rsidRPr="00FB30A3">
              <w:rPr>
                <w:rFonts w:ascii="Times New Roman" w:eastAsia="Times New Roman" w:hAnsi="Times New Roman" w:cs="Times New Roman"/>
                <w:iCs/>
                <w:caps/>
                <w:spacing w:val="20"/>
                <w:sz w:val="24"/>
                <w:szCs w:val="24"/>
                <w:lang w:eastAsia="ru-RU"/>
              </w:rPr>
              <w:t>Статьи студентов</w:t>
            </w:r>
          </w:p>
        </w:tc>
      </w:tr>
      <w:bookmarkEnd w:id="0"/>
    </w:tbl>
    <w:p w14:paraId="39984138" w14:textId="77777777" w:rsidR="00B02271" w:rsidRPr="00B02271" w:rsidRDefault="00B02271" w:rsidP="00FB30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10ADC62" w14:textId="77777777" w:rsidR="00B02271" w:rsidRPr="00B02271" w:rsidRDefault="00B02271" w:rsidP="00FB30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 ИНТЕЛЛЕКТУАЛЬНОЙ СОБСТВЕННОСТИ В СФЕРЕ УСЛУГ</w:t>
      </w:r>
    </w:p>
    <w:p w14:paraId="38B569AD" w14:textId="77777777" w:rsidR="00B02271" w:rsidRPr="00B02271" w:rsidRDefault="00B02271" w:rsidP="00FB30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3F607" w14:textId="2488180D" w:rsidR="00B02271" w:rsidRPr="00B02271" w:rsidRDefault="00B02271" w:rsidP="00FB30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</w:t>
      </w:r>
      <w:r w:rsidR="00A46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02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</w:t>
      </w:r>
      <w:r w:rsidR="00A46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692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Рыжова</w:t>
      </w:r>
    </w:p>
    <w:p w14:paraId="07223EC4" w14:textId="1F99745D" w:rsidR="00B02271" w:rsidRPr="00B02271" w:rsidRDefault="00B02271" w:rsidP="00FB30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УО «Гродненский государственный университет имени Янки</w:t>
      </w:r>
      <w:r w:rsidR="00A46A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2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Купалы»,</w:t>
      </w:r>
    </w:p>
    <w:p w14:paraId="012A6C3A" w14:textId="5BED9B3E" w:rsidR="007D1D09" w:rsidRPr="00C1148B" w:rsidRDefault="007D1D09" w:rsidP="00C114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Гродно, Беларусь</w:t>
      </w:r>
    </w:p>
    <w:p w14:paraId="38F27808" w14:textId="77777777" w:rsidR="00B02271" w:rsidRPr="00C1148B" w:rsidRDefault="00B02271" w:rsidP="00FB30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F3A1BF" w14:textId="757323BB" w:rsidR="00B02271" w:rsidRPr="00B02271" w:rsidRDefault="00B02271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– И.</w:t>
      </w:r>
      <w:r w:rsidR="00B0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П. Перов</w:t>
      </w:r>
      <w:r w:rsidR="00C11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профессор кафедры </w:t>
      </w:r>
      <w:r w:rsidR="00C1148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фундаментальной и прикладной математики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«Гродненский государственный университет имени Янки Купалы», доктор физико-математических наук, профессор.</w:t>
      </w:r>
    </w:p>
    <w:p w14:paraId="45910A3B" w14:textId="77777777" w:rsidR="00B02271" w:rsidRPr="00B02271" w:rsidRDefault="00B02271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47DCBEA" w14:textId="6FF7B49D" w:rsidR="00FB460E" w:rsidRDefault="00B02271" w:rsidP="00FB460E">
      <w:pPr>
        <w:tabs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60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статье исследуется содержание и структура финансово-экономической основы местного управления и самоуправления, источники доходов бюджета. Рассматриваются основные источники собственных доходов, в частности подоходный налог, налог на прибыль, уплачиваемый негосударственными и коммунальными организациями, налог на недвижимость и земельный налог. На основании результатов сопоставления объема налоговых поступлений и формирующей их экономической базы приводится вывод о недостаточной эффективности и устойчивости имеющейся экономической базы местных бюджетов. Приводятся основные факторы, ограничивающие налоговую самостоятельность местных органов власти.</w:t>
      </w:r>
    </w:p>
    <w:p w14:paraId="0CD8CF25" w14:textId="77777777" w:rsidR="00FB460E" w:rsidRPr="00FB460E" w:rsidRDefault="00FB460E" w:rsidP="00FB460E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252338" w14:textId="6694C606" w:rsidR="00B02271" w:rsidRPr="00FB460E" w:rsidRDefault="00B02271" w:rsidP="00FB30A3">
      <w:pPr>
        <w:tabs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60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Ключевые слова:</w:t>
      </w:r>
      <w:r w:rsidRPr="00FB4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дифференциальное уравнение, проективная плоскость, траектории дифференциальных систем.</w:t>
      </w:r>
    </w:p>
    <w:p w14:paraId="0CC500E0" w14:textId="77777777" w:rsidR="00B02271" w:rsidRPr="00B02271" w:rsidRDefault="00B02271" w:rsidP="00FB30A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EFFE7" w14:textId="5E529657" w:rsidR="00FB460E" w:rsidRPr="00FB460E" w:rsidRDefault="00B02271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Введение. 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вопрос о существовании индивидуальных различий в умственных (интеллектуальных) способностях поставил Ф. Гальтон [1, с. 50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89]. Гальтон полагал, что интеллектуальные возможности закономерно обусловлены особенностями биологической природы человека и, соответственно, ничем не отличаются от его физических и физиологических характеристик. В качестве показателя общих интеллектуальных способностей рассматривалась сенсорная различительная чувствительность.</w:t>
      </w:r>
    </w:p>
    <w:p w14:paraId="517648B8" w14:textId="5B0AD555" w:rsidR="00B02271" w:rsidRDefault="00FB460E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</w:t>
      </w:r>
    </w:p>
    <w:p w14:paraId="49A709DA" w14:textId="77777777" w:rsidR="00FB460E" w:rsidRPr="00B02271" w:rsidRDefault="00FB460E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5A9B5" w14:textId="77777777" w:rsidR="00FB460E" w:rsidRDefault="00B02271" w:rsidP="00FB46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часть. </w:t>
      </w:r>
      <w:r w:rsidR="00FB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</w:t>
      </w:r>
    </w:p>
    <w:p w14:paraId="57B9688A" w14:textId="77777777" w:rsidR="00FB460E" w:rsidRDefault="00FB460E" w:rsidP="00FB46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14:paraId="0A767EEB" w14:textId="43B851E3" w:rsidR="00BA432E" w:rsidRPr="00B02271" w:rsidRDefault="008D3E63" w:rsidP="005A0629">
      <w:pPr>
        <w:tabs>
          <w:tab w:val="center" w:pos="4820"/>
          <w:tab w:val="right" w:pos="963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432E" w:rsidRPr="00BA432E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359" w:dyaOrig="740" w14:anchorId="558FD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6.75pt" o:ole="">
            <v:imagedata r:id="rId7" o:title=""/>
          </v:shape>
          <o:OLEObject Type="Embed" ProgID="Equation.DSMT4" ShapeID="_x0000_i1025" DrawAspect="Content" ObjectID="_1833601921" r:id="rId8"/>
        </w:object>
      </w:r>
      <w:r w:rsidR="00BA432E" w:rsidRPr="008D3E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6C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432E"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A432E" w:rsidRPr="008D3E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432E"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7D99B0C" w14:textId="2C63E00F" w:rsidR="00FB460E" w:rsidRDefault="00FB460E" w:rsidP="00FB46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 Текст</w:t>
      </w:r>
      <w:r w:rsidR="00BC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14:paraId="541249CF" w14:textId="77777777" w:rsidR="00FB460E" w:rsidRDefault="00FB460E" w:rsidP="00FB46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14:paraId="0CCF609C" w14:textId="7D44CC1A" w:rsidR="00FB460E" w:rsidRDefault="00FB460E" w:rsidP="00FB46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</w:t>
      </w:r>
    </w:p>
    <w:p w14:paraId="41D09D3A" w14:textId="22C3A344" w:rsidR="00B02271" w:rsidRPr="00B02271" w:rsidRDefault="00B02271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Пусть </w:t>
      </w:r>
      <w:r w:rsidRPr="00B02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″ и </w:t>
      </w:r>
      <w:r w:rsidRPr="00B02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′ – коэффициенты регрессии в уравнениях соответственно с высокими и низкими продуктивностями, </w:t>
      </w:r>
      <w:r w:rsidRPr="00B02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″ – среднее значение высоких продуктивностей.</w:t>
      </w:r>
    </w:p>
    <w:p w14:paraId="7B2C8080" w14:textId="77777777" w:rsidR="00B02271" w:rsidRPr="00B02271" w:rsidRDefault="00B02271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коэффициент </w:t>
      </w:r>
      <w:proofErr w:type="spellStart"/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колеблемости</w:t>
      </w:r>
      <w:proofErr w:type="spellEnd"/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равен:</w:t>
      </w:r>
    </w:p>
    <w:p w14:paraId="754AA4CF" w14:textId="53802E7F" w:rsidR="00B02271" w:rsidRPr="00B02271" w:rsidRDefault="00CD6C4E" w:rsidP="005A0629">
      <w:pPr>
        <w:tabs>
          <w:tab w:val="center" w:pos="4962"/>
          <w:tab w:val="right" w:pos="9638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2271" w:rsidRPr="00B02271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140" w:dyaOrig="620" w14:anchorId="19FA72D7">
          <v:shape id="_x0000_i1026" type="#_x0000_t75" style="width:56.25pt;height:30.75pt" o:ole="">
            <v:imagedata r:id="rId9" o:title=""/>
          </v:shape>
          <o:OLEObject Type="Embed" ProgID="Equation.DSMT4" ShapeID="_x0000_i1026" DrawAspect="Content" ObjectID="_1833601922" r:id="rId10"/>
        </w:object>
      </w:r>
      <w:r w:rsidR="00B02271"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2271"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A43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2271"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BA19235" w14:textId="61EFD641" w:rsidR="00B02271" w:rsidRPr="00B02271" w:rsidRDefault="00B02271" w:rsidP="007E3F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B02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d 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разность между коэффициентами регрессии (</w:t>
      </w:r>
      <w:r w:rsidRPr="00B02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″ – </w:t>
      </w:r>
      <w:r w:rsidRPr="00B02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′).</w:t>
      </w:r>
    </w:p>
    <w:p w14:paraId="1072E295" w14:textId="77777777" w:rsidR="00B02271" w:rsidRPr="00B02271" w:rsidRDefault="00B02271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приведены в таблице 1.</w:t>
      </w:r>
    </w:p>
    <w:p w14:paraId="226B341D" w14:textId="77777777" w:rsidR="00B02271" w:rsidRPr="00B02271" w:rsidRDefault="00B02271" w:rsidP="00FB30A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BB090A" w14:textId="77777777" w:rsidR="00B02271" w:rsidRPr="00B01CEE" w:rsidRDefault="00B02271" w:rsidP="00FB30A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1CEE">
        <w:rPr>
          <w:rFonts w:ascii="Times New Roman" w:eastAsia="Times New Roman" w:hAnsi="Times New Roman" w:cs="Times New Roman"/>
          <w:b/>
          <w:lang w:eastAsia="ru-RU"/>
        </w:rPr>
        <w:t>Таблица</w:t>
      </w:r>
      <w:r w:rsidRPr="00B01CEE">
        <w:rPr>
          <w:rFonts w:ascii="Times New Roman" w:eastAsia="Times New Roman" w:hAnsi="Times New Roman" w:cs="Times New Roman"/>
          <w:b/>
          <w:lang w:val="en-US" w:eastAsia="ru-RU"/>
        </w:rPr>
        <w:t> </w:t>
      </w:r>
      <w:r w:rsidRPr="00B01CEE">
        <w:rPr>
          <w:rFonts w:ascii="Times New Roman" w:eastAsia="Times New Roman" w:hAnsi="Times New Roman" w:cs="Times New Roman"/>
          <w:b/>
          <w:lang w:eastAsia="ru-RU"/>
        </w:rPr>
        <w:t>1 – Динамика доли рынка и нормы прибыли</w:t>
      </w:r>
    </w:p>
    <w:tbl>
      <w:tblPr>
        <w:tblW w:w="335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194"/>
        <w:gridCol w:w="616"/>
        <w:gridCol w:w="647"/>
        <w:gridCol w:w="540"/>
        <w:gridCol w:w="512"/>
      </w:tblGrid>
      <w:tr w:rsidR="00B02271" w:rsidRPr="00B02271" w14:paraId="743F5342" w14:textId="77777777" w:rsidTr="008401B0">
        <w:trPr>
          <w:cantSplit/>
          <w:trHeight w:val="20"/>
          <w:jc w:val="center"/>
        </w:trPr>
        <w:tc>
          <w:tcPr>
            <w:tcW w:w="3222" w:type="pct"/>
            <w:vMerge w:val="restart"/>
            <w:tcMar>
              <w:top w:w="0" w:type="dxa"/>
              <w:bottom w:w="0" w:type="dxa"/>
            </w:tcMar>
            <w:vAlign w:val="center"/>
          </w:tcPr>
          <w:p w14:paraId="73568990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Предприятие</w:t>
            </w:r>
          </w:p>
        </w:tc>
        <w:tc>
          <w:tcPr>
            <w:tcW w:w="1778" w:type="pct"/>
            <w:gridSpan w:val="4"/>
            <w:tcMar>
              <w:top w:w="0" w:type="dxa"/>
              <w:bottom w:w="0" w:type="dxa"/>
            </w:tcMar>
            <w:vAlign w:val="center"/>
          </w:tcPr>
          <w:p w14:paraId="59E85DB6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прибыли %,</w:t>
            </w:r>
          </w:p>
          <w:p w14:paraId="425FE775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доле рынка %</w:t>
            </w:r>
          </w:p>
        </w:tc>
      </w:tr>
      <w:tr w:rsidR="00B02271" w:rsidRPr="00B02271" w14:paraId="459C1948" w14:textId="77777777" w:rsidTr="008401B0">
        <w:trPr>
          <w:cantSplit/>
          <w:trHeight w:val="20"/>
          <w:jc w:val="center"/>
        </w:trPr>
        <w:tc>
          <w:tcPr>
            <w:tcW w:w="3222" w:type="pct"/>
            <w:vMerge/>
            <w:tcMar>
              <w:top w:w="0" w:type="dxa"/>
              <w:bottom w:w="0" w:type="dxa"/>
            </w:tcMar>
            <w:vAlign w:val="center"/>
          </w:tcPr>
          <w:p w14:paraId="3C6A106D" w14:textId="77777777" w:rsidR="00B02271" w:rsidRPr="00B02271" w:rsidRDefault="00B02271" w:rsidP="00B01C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Mar>
              <w:top w:w="0" w:type="dxa"/>
              <w:bottom w:w="0" w:type="dxa"/>
            </w:tcMar>
          </w:tcPr>
          <w:p w14:paraId="4C04EC68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7" w:type="pct"/>
            <w:tcMar>
              <w:top w:w="0" w:type="dxa"/>
              <w:bottom w:w="0" w:type="dxa"/>
            </w:tcMar>
          </w:tcPr>
          <w:p w14:paraId="73EE1E35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20–30</w:t>
            </w:r>
          </w:p>
        </w:tc>
        <w:tc>
          <w:tcPr>
            <w:tcW w:w="415" w:type="pct"/>
            <w:tcMar>
              <w:top w:w="0" w:type="dxa"/>
              <w:bottom w:w="0" w:type="dxa"/>
            </w:tcMar>
          </w:tcPr>
          <w:p w14:paraId="1109BB96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1" w:type="pct"/>
            <w:tcMar>
              <w:top w:w="0" w:type="dxa"/>
              <w:bottom w:w="0" w:type="dxa"/>
            </w:tcMar>
          </w:tcPr>
          <w:p w14:paraId="3D6E255C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 40</w:t>
            </w:r>
          </w:p>
        </w:tc>
      </w:tr>
      <w:tr w:rsidR="00B02271" w:rsidRPr="00B02271" w14:paraId="6D37356F" w14:textId="77777777" w:rsidTr="008401B0">
        <w:trPr>
          <w:trHeight w:val="20"/>
          <w:jc w:val="center"/>
        </w:trPr>
        <w:tc>
          <w:tcPr>
            <w:tcW w:w="3222" w:type="pct"/>
            <w:tcMar>
              <w:top w:w="0" w:type="dxa"/>
              <w:bottom w:w="0" w:type="dxa"/>
            </w:tcMar>
            <w:vAlign w:val="center"/>
          </w:tcPr>
          <w:p w14:paraId="1082B75A" w14:textId="77777777" w:rsidR="00B02271" w:rsidRPr="00B02271" w:rsidRDefault="00B02271" w:rsidP="00B01C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Производящие потребительские товары</w:t>
            </w:r>
          </w:p>
        </w:tc>
        <w:tc>
          <w:tcPr>
            <w:tcW w:w="473" w:type="pct"/>
            <w:tcMar>
              <w:top w:w="0" w:type="dxa"/>
              <w:bottom w:w="0" w:type="dxa"/>
            </w:tcMar>
          </w:tcPr>
          <w:p w14:paraId="01C0A328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7" w:type="pct"/>
            <w:tcMar>
              <w:top w:w="0" w:type="dxa"/>
              <w:bottom w:w="0" w:type="dxa"/>
            </w:tcMar>
          </w:tcPr>
          <w:p w14:paraId="563FF67E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5" w:type="pct"/>
            <w:tcMar>
              <w:top w:w="0" w:type="dxa"/>
              <w:bottom w:w="0" w:type="dxa"/>
            </w:tcMar>
          </w:tcPr>
          <w:p w14:paraId="6EE02C1F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1" w:type="pct"/>
            <w:tcMar>
              <w:top w:w="0" w:type="dxa"/>
              <w:bottom w:w="0" w:type="dxa"/>
            </w:tcMar>
          </w:tcPr>
          <w:p w14:paraId="290984C5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B02271" w:rsidRPr="00B02271" w14:paraId="3F286EA3" w14:textId="77777777" w:rsidTr="008401B0">
        <w:trPr>
          <w:trHeight w:val="20"/>
          <w:jc w:val="center"/>
        </w:trPr>
        <w:tc>
          <w:tcPr>
            <w:tcW w:w="3222" w:type="pct"/>
            <w:tcMar>
              <w:top w:w="0" w:type="dxa"/>
              <w:bottom w:w="0" w:type="dxa"/>
            </w:tcMar>
            <w:vAlign w:val="center"/>
          </w:tcPr>
          <w:p w14:paraId="7A09C22E" w14:textId="77777777" w:rsidR="00B02271" w:rsidRPr="00B02271" w:rsidRDefault="00B02271" w:rsidP="00B01C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Производящие товары производственного назначения</w:t>
            </w:r>
          </w:p>
        </w:tc>
        <w:tc>
          <w:tcPr>
            <w:tcW w:w="473" w:type="pct"/>
            <w:tcMar>
              <w:top w:w="0" w:type="dxa"/>
              <w:bottom w:w="0" w:type="dxa"/>
            </w:tcMar>
          </w:tcPr>
          <w:p w14:paraId="636B5D6A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7" w:type="pct"/>
            <w:tcMar>
              <w:top w:w="0" w:type="dxa"/>
              <w:bottom w:w="0" w:type="dxa"/>
            </w:tcMar>
          </w:tcPr>
          <w:p w14:paraId="28EB8B58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5" w:type="pct"/>
            <w:tcMar>
              <w:top w:w="0" w:type="dxa"/>
              <w:bottom w:w="0" w:type="dxa"/>
            </w:tcMar>
          </w:tcPr>
          <w:p w14:paraId="6F4D6EA8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1" w:type="pct"/>
            <w:tcMar>
              <w:top w:w="0" w:type="dxa"/>
              <w:bottom w:w="0" w:type="dxa"/>
            </w:tcMar>
          </w:tcPr>
          <w:p w14:paraId="089B0C02" w14:textId="77777777" w:rsidR="00B02271" w:rsidRPr="00B02271" w:rsidRDefault="00B02271" w:rsidP="00B0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</w:tbl>
    <w:p w14:paraId="0D2928C0" w14:textId="77777777" w:rsidR="00B02271" w:rsidRPr="00B02271" w:rsidRDefault="00B02271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D16CD" w14:textId="5A4ABB1F" w:rsidR="00B02271" w:rsidRDefault="00B02271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 представлены на рисунке</w:t>
      </w:r>
      <w:r w:rsidR="00A46A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23D4010D" w14:textId="77777777" w:rsidR="00634DF7" w:rsidRPr="00B02271" w:rsidRDefault="00634DF7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0BA7F" w14:textId="5D3FB7A2" w:rsidR="00B02271" w:rsidRPr="00B02271" w:rsidRDefault="00B02271" w:rsidP="00FB30A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60962934"/>
      <w:r w:rsidRPr="00B022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14543C" wp14:editId="7335425C">
            <wp:extent cx="3943350" cy="10096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6F7613" w14:textId="2151D27A" w:rsidR="00B02271" w:rsidRPr="00B01CEE" w:rsidRDefault="00B02271" w:rsidP="00FB30A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1CEE">
        <w:rPr>
          <w:rFonts w:ascii="Times New Roman" w:eastAsia="Times New Roman" w:hAnsi="Times New Roman" w:cs="Times New Roman"/>
          <w:b/>
          <w:lang w:eastAsia="ru-RU"/>
        </w:rPr>
        <w:t>Рисунок</w:t>
      </w:r>
      <w:r w:rsidR="00A46A47">
        <w:rPr>
          <w:rFonts w:ascii="Times New Roman" w:eastAsia="Times New Roman" w:hAnsi="Times New Roman" w:cs="Times New Roman"/>
          <w:b/>
          <w:lang w:eastAsia="ru-RU"/>
        </w:rPr>
        <w:t> </w:t>
      </w:r>
      <w:r w:rsidRPr="00B01CEE">
        <w:rPr>
          <w:rFonts w:ascii="Times New Roman" w:eastAsia="Times New Roman" w:hAnsi="Times New Roman" w:cs="Times New Roman"/>
          <w:b/>
          <w:lang w:eastAsia="ru-RU"/>
        </w:rPr>
        <w:t>1 – Чистая прибыль компании «TOYOTA»</w:t>
      </w:r>
    </w:p>
    <w:bookmarkEnd w:id="1"/>
    <w:p w14:paraId="6B118BDE" w14:textId="77777777" w:rsidR="00B02271" w:rsidRPr="00B02271" w:rsidRDefault="00B02271" w:rsidP="00FB30A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FC31B" w14:textId="52A9AB62" w:rsidR="00B02271" w:rsidRPr="00B02271" w:rsidRDefault="00B02271" w:rsidP="00FB30A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Заключение.</w:t>
      </w:r>
      <w:r w:rsidRPr="00B0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FB3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FB3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BC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</w:t>
      </w:r>
      <w:r w:rsidR="007E3FB3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FB3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FB3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FB3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FB3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 w:rsidRP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FD" w:rsidRPr="007E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7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5C953D" w14:textId="77777777" w:rsidR="00B02271" w:rsidRPr="00B02271" w:rsidRDefault="00B02271" w:rsidP="007E3F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60202" w14:textId="653B976B" w:rsidR="00B02271" w:rsidRDefault="00B02271" w:rsidP="007E3F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7E3FB3"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  <w:t>Список литературы</w:t>
      </w:r>
    </w:p>
    <w:p w14:paraId="3A2CDBC2" w14:textId="77777777" w:rsidR="007E3FB3" w:rsidRPr="007E3FB3" w:rsidRDefault="007E3FB3" w:rsidP="007E3FB3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2117A6B9" w14:textId="009F2143" w:rsidR="00B02271" w:rsidRPr="00B02271" w:rsidRDefault="00B02271" w:rsidP="007E3FB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Гринин, Л. Е. Социальная макроэволюция: генезис и трансформации Мир-Системы / Л. Е. Гринин, А.</w:t>
      </w:r>
      <w:r w:rsidR="007928F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Коротаев. – Изд. 2-е. – </w:t>
      </w:r>
      <w:proofErr w:type="gram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URSS, 2013. – 567 с.</w:t>
      </w:r>
    </w:p>
    <w:p w14:paraId="2363D030" w14:textId="77777777" w:rsidR="00B02271" w:rsidRPr="00B02271" w:rsidRDefault="00B02271" w:rsidP="007E3FB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Влияние магнитного поля на скорость ионной компоненты пучка частиц, образующихся при наносекундном вакуумном перекрытии диэлектриков / А. С. Гилев [и др.] //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. вузов. Физика. – 2012. – Т. 55, № 6. – С. 3–6.</w:t>
      </w:r>
    </w:p>
    <w:p w14:paraId="47369821" w14:textId="77777777" w:rsidR="00B02271" w:rsidRPr="00B02271" w:rsidRDefault="00B02271" w:rsidP="007E3FB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Национальный статистический комитет Республики Беларусь [Электронный ресурс]. – Режим доступа: http://belstat.gov.by/. – Дата доступа: 24.06.2016.</w:t>
      </w:r>
    </w:p>
    <w:p w14:paraId="147709E6" w14:textId="77777777" w:rsidR="00B02271" w:rsidRPr="00B02271" w:rsidRDefault="00B02271" w:rsidP="007E3FB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Божанов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П. В. Направления развития транспортного комплекса Беларуси / П. В.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Божанов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// Современные концепции развития транспорта и логистики в Республике </w:t>
      </w:r>
      <w:proofErr w:type="gram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Беларусь :</w:t>
      </w:r>
      <w:proofErr w:type="gram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сб. ст. / Ин-т бизнеса и менеджмента технологий Белорус. гос. ун-та ; сост.: В. В.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Апанасович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Д.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Молокович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Минск, 2014. – С. 56–64.</w:t>
      </w:r>
    </w:p>
    <w:p w14:paraId="35C38337" w14:textId="3F74D8D4" w:rsidR="00B02271" w:rsidRPr="00B02271" w:rsidRDefault="00B02271" w:rsidP="007E3FB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Семин, А. А. Проблемы квалификации преступлений с административной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преюдицией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А. А. Семин</w:t>
      </w:r>
      <w:r w:rsidR="005A062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// Проблемы борьбы с преступностью и подготовки кадров для органов внутренних дел Республики </w:t>
      </w:r>
      <w:proofErr w:type="gram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Беларусь :</w:t>
      </w:r>
      <w:proofErr w:type="gram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междунар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науч.-практ.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посвящ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Дню белорус. науки, Минск, 25 янв. 2008 </w:t>
      </w:r>
      <w:proofErr w:type="gram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г. :</w:t>
      </w:r>
      <w:proofErr w:type="gram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тез.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докл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. / Акад. М-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ва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дел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Беларусь ;</w:t>
      </w:r>
      <w:proofErr w:type="gram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ред.: Н. И. Минич [и др.]. – Минск, 2008. – С. 263–264.</w:t>
      </w:r>
    </w:p>
    <w:p w14:paraId="288D9379" w14:textId="3588B5B7" w:rsidR="00B02271" w:rsidRPr="00B02271" w:rsidRDefault="00B02271" w:rsidP="007E3FB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Агапов, Е. П. Методы исследования в социальной </w:t>
      </w:r>
      <w:proofErr w:type="gram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работе :</w:t>
      </w:r>
      <w:proofErr w:type="gram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учеб. пособие / Е. П. Агапов. – 2-е изд. – </w:t>
      </w:r>
      <w:proofErr w:type="gram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М.</w:t>
      </w:r>
      <w:r w:rsidR="005A062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gram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Дашков и К° ; </w:t>
      </w:r>
      <w:proofErr w:type="spellStart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Ростов</w:t>
      </w:r>
      <w:proofErr w:type="spellEnd"/>
      <w:r w:rsidRPr="00B022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н/Д : Наука-Спектр, 2013. – 223 с.</w:t>
      </w:r>
    </w:p>
    <w:p w14:paraId="113A5A65" w14:textId="1EA5FC05" w:rsidR="007928FD" w:rsidRDefault="00B02271" w:rsidP="00FB30A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</w:pPr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Кирюхина, Л. Г. Национальная библиотека Беларуси как координационный и методический центр [Электронный ресурс] / Л. Г. Кирюхина, Л. А. Демешко //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Публічныя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бібліятэкі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пачатку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XXI </w:t>
      </w:r>
      <w:proofErr w:type="gram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:</w:t>
      </w:r>
      <w:proofErr w:type="gram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зб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арт. / Нац. б-ка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Беларусі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 склад. В. А. </w:t>
      </w:r>
      <w:proofErr w:type="spellStart"/>
      <w:proofErr w:type="gram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Рынкевіч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рэд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.: М. Г.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Алейнік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Я.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Іванова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Мінск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2008. – 1 электрон.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апт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>дыск</w:t>
      </w:r>
      <w:proofErr w:type="spellEnd"/>
      <w:r w:rsidRPr="00634D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(CD-ROM).</w:t>
      </w:r>
    </w:p>
    <w:sectPr w:rsidR="007928FD" w:rsidSect="00CD6C4E">
      <w:headerReference w:type="default" r:id="rId12"/>
      <w:footerReference w:type="defaul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6DD4" w14:textId="77777777" w:rsidR="00014483" w:rsidRDefault="00014483">
      <w:pPr>
        <w:spacing w:after="0" w:line="240" w:lineRule="auto"/>
      </w:pPr>
      <w:r>
        <w:separator/>
      </w:r>
    </w:p>
  </w:endnote>
  <w:endnote w:type="continuationSeparator" w:id="0">
    <w:p w14:paraId="2DD3D0FC" w14:textId="77777777" w:rsidR="00014483" w:rsidRDefault="0001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1017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864921" w14:textId="412BA9CC" w:rsidR="007928FD" w:rsidRPr="00CD6C4E" w:rsidRDefault="007928FD" w:rsidP="00CD6C4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28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28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28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3D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28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871839415"/>
      <w:docPartObj>
        <w:docPartGallery w:val="Page Numbers (Bottom of Page)"/>
        <w:docPartUnique/>
      </w:docPartObj>
    </w:sdtPr>
    <w:sdtContent>
      <w:p w14:paraId="1E096DD8" w14:textId="0A06F6CE" w:rsidR="007928FD" w:rsidRPr="007928FD" w:rsidRDefault="007928F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28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28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28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28FD">
          <w:rPr>
            <w:rFonts w:ascii="Times New Roman" w:hAnsi="Times New Roman" w:cs="Times New Roman"/>
            <w:sz w:val="24"/>
            <w:szCs w:val="24"/>
          </w:rPr>
          <w:t>2</w:t>
        </w:r>
        <w:r w:rsidRPr="007928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4482BC" w14:textId="77777777" w:rsidR="007928FD" w:rsidRDefault="007928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9A8A9" w14:textId="77777777" w:rsidR="00014483" w:rsidRDefault="00014483">
      <w:pPr>
        <w:spacing w:after="0" w:line="240" w:lineRule="auto"/>
      </w:pPr>
      <w:r>
        <w:separator/>
      </w:r>
    </w:p>
  </w:footnote>
  <w:footnote w:type="continuationSeparator" w:id="0">
    <w:p w14:paraId="2268C9F3" w14:textId="77777777" w:rsidR="00014483" w:rsidRDefault="0001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DFAB" w14:textId="6A640EC4" w:rsidR="00000000" w:rsidRPr="004F2A19" w:rsidRDefault="00000000">
    <w:pPr>
      <w:pStyle w:val="a3"/>
      <w:jc w:val="right"/>
      <w:rPr>
        <w:sz w:val="18"/>
        <w:szCs w:val="18"/>
      </w:rPr>
    </w:pPr>
  </w:p>
  <w:p w14:paraId="0CCD5BB2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D17A4"/>
    <w:multiLevelType w:val="hybridMultilevel"/>
    <w:tmpl w:val="2222E91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9512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271"/>
    <w:rsid w:val="00014483"/>
    <w:rsid w:val="00074E40"/>
    <w:rsid w:val="001744A9"/>
    <w:rsid w:val="001D4EB0"/>
    <w:rsid w:val="00252721"/>
    <w:rsid w:val="003A177B"/>
    <w:rsid w:val="003B63CD"/>
    <w:rsid w:val="00583897"/>
    <w:rsid w:val="0058792A"/>
    <w:rsid w:val="005A0629"/>
    <w:rsid w:val="00634DF7"/>
    <w:rsid w:val="00645E27"/>
    <w:rsid w:val="00692817"/>
    <w:rsid w:val="0070360C"/>
    <w:rsid w:val="007313D3"/>
    <w:rsid w:val="00753F53"/>
    <w:rsid w:val="007928FD"/>
    <w:rsid w:val="007C7BD7"/>
    <w:rsid w:val="007D1D09"/>
    <w:rsid w:val="007E3FB3"/>
    <w:rsid w:val="008569EE"/>
    <w:rsid w:val="008A174F"/>
    <w:rsid w:val="008D3E63"/>
    <w:rsid w:val="009912FD"/>
    <w:rsid w:val="009A12E7"/>
    <w:rsid w:val="00A46A47"/>
    <w:rsid w:val="00B01CEE"/>
    <w:rsid w:val="00B02271"/>
    <w:rsid w:val="00B13D16"/>
    <w:rsid w:val="00BA432E"/>
    <w:rsid w:val="00BC3104"/>
    <w:rsid w:val="00C1148B"/>
    <w:rsid w:val="00CA64C8"/>
    <w:rsid w:val="00CA6DEF"/>
    <w:rsid w:val="00CD6C4E"/>
    <w:rsid w:val="00D76FFC"/>
    <w:rsid w:val="00DA225A"/>
    <w:rsid w:val="00FB30A3"/>
    <w:rsid w:val="00FB460E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D63B"/>
  <w15:docId w15:val="{C85CF418-EDE0-4AC5-A2D6-821B533C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2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022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92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8FD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5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61111111111111"/>
          <c:y val="0.11851851851851852"/>
          <c:w val="0.80277777777777781"/>
          <c:h val="0.47407407407407409"/>
        </c:manualLayout>
      </c:layout>
      <c:scatterChart>
        <c:scatterStyle val="lineMarker"/>
        <c:varyColors val="0"/>
        <c:ser>
          <c:idx val="0"/>
          <c:order val="0"/>
          <c:spPr>
            <a:ln w="12670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spPr>
              <a:noFill/>
              <a:ln w="2534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98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Лист1!$A$1:$A$5</c:f>
              <c:numCache>
                <c:formatCode>General</c:formatCode>
                <c:ptCount val="5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</c:numCache>
            </c:numRef>
          </c:xVal>
          <c:yVal>
            <c:numRef>
              <c:f>Лист1!$B$1:$B$5</c:f>
              <c:numCache>
                <c:formatCode>General</c:formatCode>
                <c:ptCount val="5"/>
                <c:pt idx="0">
                  <c:v>5.22</c:v>
                </c:pt>
                <c:pt idx="1">
                  <c:v>8.1199999999999992</c:v>
                </c:pt>
                <c:pt idx="2">
                  <c:v>10.41</c:v>
                </c:pt>
                <c:pt idx="3">
                  <c:v>10.59</c:v>
                </c:pt>
                <c:pt idx="4">
                  <c:v>11.19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E01-4E21-9397-10E63E3446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6998144"/>
        <c:axId val="247000064"/>
      </c:scatterChart>
      <c:valAx>
        <c:axId val="246998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98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r>
                  <a:rPr lang="ru-RU" sz="898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Период</a:t>
                </a:r>
              </a:p>
            </c:rich>
          </c:tx>
          <c:layout>
            <c:manualLayout>
              <c:xMode val="edge"/>
              <c:yMode val="edge"/>
              <c:x val="0.4194444444444444"/>
              <c:y val="0.84444465783240519"/>
            </c:manualLayout>
          </c:layout>
          <c:overlay val="0"/>
          <c:spPr>
            <a:noFill/>
            <a:ln w="2534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7000064"/>
        <c:crosses val="autoZero"/>
        <c:crossBetween val="midCat"/>
      </c:valAx>
      <c:valAx>
        <c:axId val="24700006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98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r>
                  <a:rPr lang="ru-RU" sz="898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млрд. $</a:t>
                </a:r>
              </a:p>
            </c:rich>
          </c:tx>
          <c:layout>
            <c:manualLayout>
              <c:xMode val="edge"/>
              <c:yMode val="edge"/>
              <c:x val="1.3888888888888888E-2"/>
              <c:y val="0.2148146725561744"/>
            </c:manualLayout>
          </c:layout>
          <c:overlay val="0"/>
          <c:spPr>
            <a:noFill/>
            <a:ln w="2534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  <c:crossAx val="246998144"/>
        <c:crosses val="autoZero"/>
        <c:crossBetween val="midCat"/>
      </c:valAx>
      <c:spPr>
        <a:noFill/>
        <a:ln w="2534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9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VR</dc:creator>
  <cp:lastModifiedBy>Кузьмич АНДРЕЙ ВИКТОРОВИЧ</cp:lastModifiedBy>
  <cp:revision>3</cp:revision>
  <dcterms:created xsi:type="dcterms:W3CDTF">2025-02-20T06:18:00Z</dcterms:created>
  <dcterms:modified xsi:type="dcterms:W3CDTF">2026-02-26T06:06:00Z</dcterms:modified>
</cp:coreProperties>
</file>